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Latn-CS"/>
        </w:rPr>
        <w:t>ДЗ „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>Смедерево“ Смедерево</w:t>
      </w:r>
    </w:p>
    <w:p w:rsidR="00687889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2062A">
        <w:rPr>
          <w:rFonts w:ascii="Times New Roman" w:hAnsi="Times New Roman" w:cs="Times New Roman"/>
          <w:sz w:val="24"/>
          <w:szCs w:val="24"/>
          <w:lang/>
        </w:rPr>
        <w:t>13</w:t>
      </w:r>
      <w:r w:rsidR="002F7A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E3BCB">
        <w:rPr>
          <w:rFonts w:ascii="Times New Roman" w:hAnsi="Times New Roman" w:cs="Times New Roman"/>
          <w:sz w:val="24"/>
          <w:szCs w:val="24"/>
          <w:lang w:val="sr-Latn-CS"/>
        </w:rPr>
        <w:t xml:space="preserve"> ЈНМВ </w:t>
      </w:r>
      <w:r w:rsidR="00687889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062A">
        <w:rPr>
          <w:rFonts w:ascii="Times New Roman" w:hAnsi="Times New Roman" w:cs="Times New Roman"/>
          <w:sz w:val="24"/>
          <w:szCs w:val="24"/>
          <w:lang w:val="sr-Cyrl-CS"/>
        </w:rPr>
        <w:t>20</w:t>
      </w: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Дана: </w:t>
      </w:r>
      <w:r w:rsidR="0022062A">
        <w:rPr>
          <w:rFonts w:ascii="Times New Roman" w:hAnsi="Times New Roman" w:cs="Times New Roman"/>
          <w:sz w:val="24"/>
          <w:szCs w:val="24"/>
          <w:lang/>
        </w:rPr>
        <w:t>03.06</w:t>
      </w:r>
      <w:r w:rsidR="002F7A23">
        <w:rPr>
          <w:rFonts w:ascii="Times New Roman" w:hAnsi="Times New Roman" w:cs="Times New Roman"/>
          <w:sz w:val="24"/>
          <w:szCs w:val="24"/>
          <w:lang w:val="sr-Cyrl-CS"/>
        </w:rPr>
        <w:t>.2019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С м е д е р е в о</w:t>
      </w:r>
    </w:p>
    <w:p w:rsidR="00381A8B" w:rsidRPr="005E3BCB" w:rsidRDefault="00381A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Pr="005E3BCB" w:rsidRDefault="00381A8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Обавештење о обустави поступка јавне набавке</w:t>
      </w:r>
    </w:p>
    <w:p w:rsidR="00381A8B" w:rsidRPr="005E3BCB" w:rsidRDefault="00381A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Pr="005E3BCB" w:rsidRDefault="00381A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Назив наручиоца: ДЗ „Смедерево“ Смедерево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Адреса наручиоца: Кнез Михаилова бр. 51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Latn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Интернет страница наручиоца: www.domzdravljasd.rs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Врста наручиоца: здравствена установа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Врста поступка јавне набавке: ЈНМВ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Врста предмета: добра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Опис предмета набавке, назив и ознака из општег речника набавке</w:t>
      </w:r>
      <w:r w:rsidRPr="005E3BCB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 xml:space="preserve"> набавка </w:t>
      </w:r>
      <w:r w:rsidR="002F7A2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F7A23" w:rsidRPr="00F93C08">
        <w:rPr>
          <w:rFonts w:ascii="Times New Roman" w:hAnsi="Times New Roman"/>
          <w:lang w:val="sr-Cyrl-CS"/>
        </w:rPr>
        <w:t>ОРН</w:t>
      </w:r>
      <w:r w:rsidR="002F7A23">
        <w:rPr>
          <w:rFonts w:ascii="Times New Roman" w:hAnsi="Times New Roman"/>
          <w:lang w:val="sr-Cyrl-CS"/>
        </w:rPr>
        <w:t xml:space="preserve"> 33190000 разни медицински уређаји и производи</w:t>
      </w:r>
      <w:r w:rsidR="002F7A23" w:rsidRPr="00F93C08">
        <w:rPr>
          <w:rFonts w:ascii="Times New Roman" w:hAnsi="Times New Roman"/>
          <w:lang w:val="sr-Cyrl-CS"/>
        </w:rPr>
        <w:t>.</w:t>
      </w:r>
    </w:p>
    <w:p w:rsidR="002F7A23" w:rsidRPr="005E3BCB" w:rsidRDefault="00381A8B" w:rsidP="002F7A23">
      <w:pPr>
        <w:jc w:val="left"/>
        <w:rPr>
          <w:rFonts w:ascii="Times New Roman" w:hAnsi="Times New Roman" w:cs="Times New Roman"/>
          <w:sz w:val="24"/>
          <w:szCs w:val="24"/>
          <w:lang w:val="sr-Latn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Процењен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 вредност јавне набавке: </w:t>
      </w:r>
    </w:p>
    <w:tbl>
      <w:tblPr>
        <w:tblW w:w="15859" w:type="dxa"/>
        <w:jc w:val="center"/>
        <w:tblInd w:w="12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260"/>
        <w:gridCol w:w="7541"/>
        <w:gridCol w:w="902"/>
        <w:gridCol w:w="768"/>
        <w:gridCol w:w="990"/>
        <w:gridCol w:w="1019"/>
        <w:gridCol w:w="1024"/>
        <w:gridCol w:w="1080"/>
      </w:tblGrid>
      <w:tr w:rsidR="0022062A" w:rsidRPr="00317FC7" w:rsidTr="0022062A">
        <w:trPr>
          <w:cantSplit/>
          <w:trHeight w:val="1158"/>
          <w:jc w:val="center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22062A" w:rsidRPr="00E2379B" w:rsidRDefault="0022062A" w:rsidP="0022062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379B">
              <w:rPr>
                <w:rFonts w:ascii="Times New Roman" w:hAnsi="Times New Roman"/>
                <w:sz w:val="16"/>
                <w:szCs w:val="16"/>
              </w:rPr>
              <w:t>Ukupna</w:t>
            </w:r>
            <w:proofErr w:type="spellEnd"/>
            <w:r w:rsidRPr="00E237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379B">
              <w:rPr>
                <w:rFonts w:ascii="Times New Roman" w:hAnsi="Times New Roman"/>
                <w:sz w:val="16"/>
                <w:szCs w:val="16"/>
              </w:rPr>
              <w:t>proc.vredpo</w:t>
            </w:r>
            <w:proofErr w:type="spellEnd"/>
            <w:r w:rsidRPr="00E237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379B">
              <w:rPr>
                <w:rFonts w:ascii="Times New Roman" w:hAnsi="Times New Roman"/>
                <w:sz w:val="16"/>
                <w:szCs w:val="16"/>
              </w:rPr>
              <w:t>partijama</w:t>
            </w:r>
            <w:proofErr w:type="spellEnd"/>
            <w:r w:rsidRPr="00E2379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2062A" w:rsidRPr="00E2379B" w:rsidRDefault="0022062A" w:rsidP="0022062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379B">
              <w:rPr>
                <w:rFonts w:ascii="Times New Roman" w:hAnsi="Times New Roman"/>
                <w:sz w:val="16"/>
                <w:szCs w:val="16"/>
              </w:rPr>
              <w:t>bez</w:t>
            </w:r>
            <w:proofErr w:type="spellEnd"/>
            <w:r w:rsidRPr="00E2379B">
              <w:rPr>
                <w:rFonts w:ascii="Times New Roman" w:hAnsi="Times New Roman"/>
                <w:sz w:val="16"/>
                <w:szCs w:val="16"/>
              </w:rPr>
              <w:t xml:space="preserve"> PDV-a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22062A" w:rsidRPr="00317FC7" w:rsidRDefault="0022062A" w:rsidP="0022062A">
            <w:pPr>
              <w:rPr>
                <w:rFonts w:ascii="Times New Roman" w:hAnsi="Times New Roman"/>
                <w:sz w:val="16"/>
                <w:szCs w:val="16"/>
              </w:rPr>
            </w:pPr>
            <w:r w:rsidRPr="00317FC7">
              <w:rPr>
                <w:rFonts w:ascii="Times New Roman" w:hAnsi="Times New Roman"/>
                <w:sz w:val="16"/>
                <w:szCs w:val="16"/>
              </w:rPr>
              <w:t>Part.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bottom"/>
          </w:tcPr>
          <w:p w:rsidR="0022062A" w:rsidRPr="00317FC7" w:rsidRDefault="0022062A" w:rsidP="0022062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Naziv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proizvoda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2062A" w:rsidRPr="00317FC7" w:rsidRDefault="0022062A" w:rsidP="0022062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   </w:t>
            </w:r>
            <w:proofErr w:type="spellStart"/>
            <w:proofErr w:type="gramStart"/>
            <w:r w:rsidRPr="00317FC7">
              <w:rPr>
                <w:rFonts w:ascii="Times New Roman" w:hAnsi="Times New Roman"/>
                <w:sz w:val="16"/>
                <w:szCs w:val="16"/>
              </w:rPr>
              <w:t>jed</w:t>
            </w:r>
            <w:proofErr w:type="spellEnd"/>
            <w:proofErr w:type="gramEnd"/>
            <w:r w:rsidRPr="00317FC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2062A" w:rsidRPr="00317FC7" w:rsidRDefault="0022062A" w:rsidP="0022062A">
            <w:pPr>
              <w:rPr>
                <w:rFonts w:ascii="Times New Roman" w:hAnsi="Times New Roman"/>
                <w:sz w:val="16"/>
                <w:szCs w:val="16"/>
              </w:rPr>
            </w:pPr>
            <w:r w:rsidRPr="00317FC7">
              <w:rPr>
                <w:rFonts w:ascii="Times New Roman" w:hAnsi="Times New Roman"/>
                <w:sz w:val="16"/>
                <w:szCs w:val="16"/>
              </w:rPr>
              <w:t>mere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noWrap/>
            <w:vAlign w:val="bottom"/>
          </w:tcPr>
          <w:p w:rsidR="0022062A" w:rsidRPr="00317FC7" w:rsidRDefault="0022062A" w:rsidP="0022062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Kol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22062A" w:rsidRPr="00317FC7" w:rsidRDefault="0022062A" w:rsidP="0022062A">
            <w:pPr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</w:pPr>
            <w:r w:rsidRPr="00317FC7"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  <w:t xml:space="preserve"> „</w:t>
            </w:r>
            <w:r w:rsidRPr="00317FC7"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  <w:t>PRIZMA</w:t>
            </w:r>
            <w:r w:rsidRPr="00317FC7"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  <w:t xml:space="preserve">“ </w:t>
            </w:r>
            <w:r w:rsidRPr="00317FC7"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  <w:t>Kragujevac</w:t>
            </w:r>
          </w:p>
          <w:p w:rsidR="0022062A" w:rsidRPr="00317FC7" w:rsidRDefault="0022062A" w:rsidP="0022062A">
            <w:pPr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</w:pPr>
            <w:r w:rsidRPr="00317FC7"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  <w:t>Број понуде:</w:t>
            </w:r>
            <w:r w:rsidRPr="00317FC7"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  <w:t>1</w:t>
            </w:r>
            <w:r w:rsidRPr="00317FC7"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  <w:t>3 ЈНМВ-</w:t>
            </w:r>
            <w:r w:rsidRPr="00317FC7"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  <w:t>5</w:t>
            </w:r>
          </w:p>
          <w:p w:rsidR="0022062A" w:rsidRPr="00317FC7" w:rsidRDefault="0022062A" w:rsidP="0022062A">
            <w:pPr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</w:pP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bez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PDV-a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22062A" w:rsidRPr="00317FC7" w:rsidRDefault="0022062A" w:rsidP="0022062A">
            <w:pPr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</w:pPr>
            <w:r w:rsidRPr="00317FC7">
              <w:rPr>
                <w:rFonts w:ascii="Times New Roman" w:hAnsi="Times New Roman"/>
                <w:sz w:val="16"/>
                <w:szCs w:val="16"/>
              </w:rPr>
              <w:t xml:space="preserve">„Galen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Fokus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>“ Beograd</w:t>
            </w:r>
            <w:r w:rsidRPr="00317FC7"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  <w:t xml:space="preserve"> Број понуде:</w:t>
            </w:r>
          </w:p>
          <w:p w:rsidR="0022062A" w:rsidRPr="00317FC7" w:rsidRDefault="0022062A" w:rsidP="0022062A">
            <w:pPr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</w:pPr>
            <w:r w:rsidRPr="00317FC7">
              <w:rPr>
                <w:rFonts w:ascii="Times New Roman" w:hAnsi="Times New Roman"/>
                <w:sz w:val="16"/>
                <w:szCs w:val="16"/>
                <w:lang/>
              </w:rPr>
              <w:t>1</w:t>
            </w:r>
            <w:r w:rsidRPr="00317FC7">
              <w:rPr>
                <w:rFonts w:ascii="Times New Roman" w:hAnsi="Times New Roman"/>
                <w:sz w:val="16"/>
                <w:szCs w:val="16"/>
                <w:lang w:val="sr-Cyrl-CS"/>
              </w:rPr>
              <w:t>3 ЈНМВ</w:t>
            </w:r>
            <w:r w:rsidRPr="00317FC7">
              <w:rPr>
                <w:rFonts w:ascii="Times New Roman" w:hAnsi="Times New Roman"/>
                <w:sz w:val="16"/>
                <w:szCs w:val="16"/>
                <w:lang/>
              </w:rPr>
              <w:t>-6</w:t>
            </w:r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bez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PDV-a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22062A" w:rsidRPr="00317FC7" w:rsidRDefault="0022062A" w:rsidP="0022062A">
            <w:pPr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</w:pPr>
            <w:r w:rsidRPr="00317FC7"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  <w:t>„Суперлаб“ Београд</w:t>
            </w:r>
          </w:p>
          <w:p w:rsidR="0022062A" w:rsidRPr="00317FC7" w:rsidRDefault="0022062A" w:rsidP="0022062A">
            <w:pPr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</w:pPr>
            <w:r w:rsidRPr="00317FC7"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  <w:t>Број понуде:</w:t>
            </w:r>
          </w:p>
          <w:p w:rsidR="0022062A" w:rsidRPr="00317FC7" w:rsidRDefault="0022062A" w:rsidP="0022062A">
            <w:pPr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</w:pPr>
            <w:r w:rsidRPr="00317FC7"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  <w:t>1</w:t>
            </w:r>
            <w:r w:rsidRPr="00317FC7"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  <w:t>3 ЈНМВ-</w:t>
            </w:r>
            <w:r w:rsidRPr="00317FC7"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  <w:t>7</w:t>
            </w:r>
          </w:p>
          <w:p w:rsidR="0022062A" w:rsidRPr="00317FC7" w:rsidRDefault="0022062A" w:rsidP="0022062A">
            <w:pPr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</w:pP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bez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PDV-a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22062A" w:rsidRPr="00317FC7" w:rsidRDefault="0022062A" w:rsidP="0022062A">
            <w:pPr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</w:pPr>
            <w:r w:rsidRPr="00317FC7"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  <w:t>„MIT“doo</w:t>
            </w:r>
          </w:p>
          <w:p w:rsidR="0022062A" w:rsidRPr="00317FC7" w:rsidRDefault="0022062A" w:rsidP="0022062A">
            <w:pPr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</w:pPr>
            <w:r w:rsidRPr="00317FC7"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  <w:t>Novi Sad</w:t>
            </w:r>
          </w:p>
          <w:p w:rsidR="0022062A" w:rsidRPr="00317FC7" w:rsidRDefault="0022062A" w:rsidP="0022062A">
            <w:pPr>
              <w:rPr>
                <w:rFonts w:ascii="Times New Roman" w:hAnsi="Times New Roman"/>
                <w:sz w:val="16"/>
                <w:szCs w:val="16"/>
                <w:lang/>
              </w:rPr>
            </w:pPr>
            <w:r w:rsidRPr="00317FC7">
              <w:rPr>
                <w:rFonts w:ascii="Times New Roman" w:hAnsi="Times New Roman"/>
                <w:sz w:val="16"/>
                <w:szCs w:val="16"/>
                <w:lang/>
              </w:rPr>
              <w:t>13 JNMV-8</w:t>
            </w:r>
          </w:p>
          <w:p w:rsidR="0022062A" w:rsidRPr="00317FC7" w:rsidRDefault="0022062A" w:rsidP="0022062A">
            <w:pPr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</w:pP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bez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PDV-a</w:t>
            </w:r>
          </w:p>
        </w:tc>
      </w:tr>
      <w:tr w:rsidR="0022062A" w:rsidRPr="00317FC7" w:rsidTr="000B7730">
        <w:trPr>
          <w:trHeight w:val="402"/>
          <w:jc w:val="center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62A" w:rsidRPr="00E2379B" w:rsidRDefault="0022062A" w:rsidP="000B7730">
            <w:pPr>
              <w:rPr>
                <w:rFonts w:ascii="Times New Roman" w:hAnsi="Times New Roman"/>
                <w:sz w:val="14"/>
                <w:szCs w:val="14"/>
              </w:rPr>
            </w:pPr>
            <w:r w:rsidRPr="00E2379B">
              <w:rPr>
                <w:rFonts w:ascii="Times New Roman" w:hAnsi="Times New Roman"/>
                <w:sz w:val="14"/>
                <w:szCs w:val="14"/>
              </w:rPr>
              <w:t>4.875,00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  <w:r w:rsidRPr="00317FC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  <w:r w:rsidRPr="00317FC7">
              <w:rPr>
                <w:rFonts w:ascii="Times New Roman" w:hAnsi="Times New Roman"/>
                <w:sz w:val="16"/>
                <w:szCs w:val="16"/>
              </w:rPr>
              <w:t xml:space="preserve">Fast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poveske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izrađene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od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materijala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koja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sprečava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kožne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upale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sa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spec.kopčom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čiji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mehanizam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omogućava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dva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načina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za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oslobođanje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pritiska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naglo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postepeno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za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davanje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i.v.terapije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zaustavljanje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krvarenja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ujedi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otrovnih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životinjaPoveska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za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uzimanje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krvi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napravljena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od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sintetičke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gume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bez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lateksa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ili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tkanine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>.</w:t>
            </w:r>
            <w:r w:rsidRPr="00317FC7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Tipovi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sa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mehanizmom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Širina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: 2-2,5cm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Dužina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: 35-45cm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ili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odgovarajuće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kom</w:t>
            </w:r>
            <w:proofErr w:type="spellEnd"/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  <w:r w:rsidRPr="00317FC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  <w:lang/>
              </w:rPr>
            </w:pPr>
            <w:r w:rsidRPr="00317FC7">
              <w:rPr>
                <w:rFonts w:ascii="Times New Roman" w:hAnsi="Times New Roman"/>
                <w:sz w:val="16"/>
                <w:szCs w:val="16"/>
                <w:lang/>
              </w:rPr>
              <w:t>/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2A" w:rsidRPr="00317FC7" w:rsidRDefault="0022062A" w:rsidP="000B7730">
            <w:pPr>
              <w:rPr>
                <w:rFonts w:ascii="Times New Roman" w:hAnsi="Times New Roman"/>
                <w:bCs/>
                <w:sz w:val="16"/>
                <w:szCs w:val="16"/>
                <w:highlight w:val="yellow"/>
                <w:lang w:eastAsia="sr-Latn-CS"/>
              </w:rPr>
            </w:pPr>
          </w:p>
        </w:tc>
      </w:tr>
      <w:tr w:rsidR="0022062A" w:rsidRPr="00317FC7" w:rsidTr="000B7730">
        <w:trPr>
          <w:trHeight w:val="402"/>
          <w:jc w:val="center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62A" w:rsidRPr="00E2379B" w:rsidRDefault="0022062A" w:rsidP="000B7730">
            <w:pPr>
              <w:rPr>
                <w:rFonts w:ascii="Times New Roman" w:hAnsi="Times New Roman"/>
                <w:sz w:val="14"/>
                <w:szCs w:val="14"/>
              </w:rPr>
            </w:pPr>
            <w:r w:rsidRPr="00E2379B">
              <w:rPr>
                <w:rFonts w:ascii="Times New Roman" w:hAnsi="Times New Roman"/>
                <w:sz w:val="14"/>
                <w:szCs w:val="14"/>
              </w:rPr>
              <w:t>60.000,00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  <w:r w:rsidRPr="00317FC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Маске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заштитне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за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Хес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puna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maska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od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meke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prirodne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gume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Unutrašnji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deo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za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lice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napravljen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od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termoplastične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gume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. Pet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tačaka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kačenja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Optimalno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vidno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polje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bez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smanjenja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perifernog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vida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Maska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sadrži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polikarbonatni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vizir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koji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je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otporan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na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grebanje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udarce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Dva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dodatna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bočna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Eolo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®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filtera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služe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za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povećanu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dišljivost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paropropusnost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sprečavaju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mogućnost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magljenja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Koristi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jedan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DIN filter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sa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R40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sistemom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kačenja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(EN 148-1).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Pogodne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za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korišćenje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sa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filterima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iz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BLS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serije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400.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Jednostavno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brzo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čišćenje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same maske.hes 2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komada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+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hitna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2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Primena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Koristi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se u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hemijskoj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petrohemijskoj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industriji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medicini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farmaceutskoj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industriji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, u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lastRenderedPageBreak/>
              <w:t>poljoprivredi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pri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radu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sa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pesticidima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herbicidima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pri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proizvodnji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đubriva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, u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laboratorijama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, u auto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industriji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građevinskoj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industriji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sl.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Primenjen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standard EN 136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Kategorija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III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ili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odgovarajuće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lastRenderedPageBreak/>
              <w:t>Kom</w:t>
            </w:r>
            <w:proofErr w:type="spellEnd"/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  <w:r w:rsidRPr="00317F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  <w:lang/>
              </w:rPr>
            </w:pPr>
            <w:r w:rsidRPr="00317FC7">
              <w:rPr>
                <w:rFonts w:ascii="Times New Roman" w:hAnsi="Times New Roman"/>
                <w:sz w:val="16"/>
                <w:szCs w:val="16"/>
                <w:lang/>
              </w:rPr>
              <w:t>/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22062A" w:rsidRPr="00317FC7" w:rsidTr="000B7730">
        <w:trPr>
          <w:trHeight w:val="402"/>
          <w:jc w:val="center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62A" w:rsidRPr="00E2379B" w:rsidRDefault="0022062A" w:rsidP="000B7730">
            <w:pPr>
              <w:rPr>
                <w:rFonts w:ascii="Times New Roman" w:hAnsi="Times New Roman"/>
                <w:sz w:val="14"/>
                <w:szCs w:val="14"/>
              </w:rPr>
            </w:pPr>
            <w:r w:rsidRPr="00E2379B">
              <w:rPr>
                <w:rFonts w:ascii="Times New Roman" w:hAnsi="Times New Roman"/>
                <w:sz w:val="14"/>
                <w:szCs w:val="14"/>
              </w:rPr>
              <w:lastRenderedPageBreak/>
              <w:t>10.500,00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  <w:r w:rsidRPr="00317FC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Trake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za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noge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za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masovne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nesreće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crne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boje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na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čičak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kom</w:t>
            </w:r>
            <w:proofErr w:type="spellEnd"/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  <w:r w:rsidRPr="00317FC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17FC7">
              <w:rPr>
                <w:rFonts w:ascii="Times New Roman" w:hAnsi="Times New Roman"/>
                <w:sz w:val="16"/>
                <w:szCs w:val="16"/>
                <w:lang w:val="sr-Cyrl-CS"/>
              </w:rPr>
              <w:t>/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062A" w:rsidRPr="00317FC7" w:rsidTr="000B7730">
        <w:trPr>
          <w:trHeight w:val="402"/>
          <w:jc w:val="center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62A" w:rsidRPr="00E2379B" w:rsidRDefault="0022062A" w:rsidP="000B7730">
            <w:pPr>
              <w:rPr>
                <w:rFonts w:ascii="Times New Roman" w:hAnsi="Times New Roman"/>
                <w:sz w:val="14"/>
                <w:szCs w:val="14"/>
              </w:rPr>
            </w:pPr>
            <w:r w:rsidRPr="00E2379B">
              <w:rPr>
                <w:rFonts w:ascii="Times New Roman" w:hAnsi="Times New Roman"/>
                <w:sz w:val="14"/>
                <w:szCs w:val="14"/>
              </w:rPr>
              <w:t>10.500,00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  <w:r w:rsidRPr="00317FC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Trake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za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noge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za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masovne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nesreće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crvne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boje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na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čičak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kom</w:t>
            </w:r>
            <w:proofErr w:type="spellEnd"/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  <w:r w:rsidRPr="00317FC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  <w:lang/>
              </w:rPr>
            </w:pPr>
            <w:r w:rsidRPr="00317FC7">
              <w:rPr>
                <w:rFonts w:ascii="Times New Roman" w:hAnsi="Times New Roman"/>
                <w:sz w:val="16"/>
                <w:szCs w:val="16"/>
                <w:lang/>
              </w:rPr>
              <w:t>/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062A" w:rsidRPr="00317FC7" w:rsidTr="000B7730">
        <w:trPr>
          <w:trHeight w:val="402"/>
          <w:jc w:val="center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62A" w:rsidRPr="00E2379B" w:rsidRDefault="0022062A" w:rsidP="000B7730">
            <w:pPr>
              <w:rPr>
                <w:rFonts w:ascii="Times New Roman" w:hAnsi="Times New Roman"/>
                <w:sz w:val="14"/>
                <w:szCs w:val="14"/>
              </w:rPr>
            </w:pPr>
            <w:r w:rsidRPr="00E2379B">
              <w:rPr>
                <w:rFonts w:ascii="Times New Roman" w:hAnsi="Times New Roman"/>
                <w:sz w:val="14"/>
                <w:szCs w:val="14"/>
              </w:rPr>
              <w:t>10.500,00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  <w:r w:rsidRPr="00317FC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Trake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za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noge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za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masovne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nesreće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zelene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boje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na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čičak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kom</w:t>
            </w:r>
            <w:proofErr w:type="spellEnd"/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  <w:r w:rsidRPr="00317FC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  <w:lang/>
              </w:rPr>
            </w:pPr>
            <w:r w:rsidRPr="00317FC7">
              <w:rPr>
                <w:rFonts w:ascii="Times New Roman" w:hAnsi="Times New Roman"/>
                <w:sz w:val="16"/>
                <w:szCs w:val="16"/>
                <w:lang/>
              </w:rPr>
              <w:t>/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062A" w:rsidRPr="00317FC7" w:rsidTr="000B7730">
        <w:trPr>
          <w:trHeight w:val="402"/>
          <w:jc w:val="center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62A" w:rsidRPr="00E2379B" w:rsidRDefault="0022062A" w:rsidP="000B7730">
            <w:pPr>
              <w:rPr>
                <w:rFonts w:ascii="Times New Roman" w:hAnsi="Times New Roman"/>
                <w:sz w:val="14"/>
                <w:szCs w:val="14"/>
              </w:rPr>
            </w:pPr>
            <w:r w:rsidRPr="00E2379B">
              <w:rPr>
                <w:rFonts w:ascii="Times New Roman" w:hAnsi="Times New Roman"/>
                <w:sz w:val="14"/>
                <w:szCs w:val="14"/>
              </w:rPr>
              <w:t>10.500,00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  <w:r w:rsidRPr="00317FC7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Fluroscentne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trake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za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noge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za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masovne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nesreće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zute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(par)snap on </w:t>
            </w:r>
            <w:r w:rsidRPr="00317FC7">
              <w:rPr>
                <w:rFonts w:ascii="Times New Roman" w:hAnsi="Times New Roman"/>
                <w:sz w:val="16"/>
                <w:szCs w:val="16"/>
              </w:rPr>
              <w:br/>
              <w:t xml:space="preserve">-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Nosi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se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oko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ruke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noge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dimenzije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30 x 340 mm</w:t>
            </w:r>
            <w:r w:rsidRPr="00317FC7">
              <w:rPr>
                <w:rFonts w:ascii="Times New Roman" w:hAnsi="Times New Roman"/>
                <w:sz w:val="16"/>
                <w:szCs w:val="16"/>
              </w:rPr>
              <w:br/>
              <w:t xml:space="preserve">-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boja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neon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žuta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kom</w:t>
            </w:r>
            <w:proofErr w:type="spellEnd"/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  <w:r w:rsidRPr="00317FC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  <w:lang/>
              </w:rPr>
            </w:pPr>
            <w:r w:rsidRPr="00317FC7">
              <w:rPr>
                <w:rFonts w:ascii="Times New Roman" w:hAnsi="Times New Roman"/>
                <w:sz w:val="16"/>
                <w:szCs w:val="16"/>
                <w:lang/>
              </w:rPr>
              <w:t>/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062A" w:rsidRPr="00317FC7" w:rsidTr="000B7730">
        <w:trPr>
          <w:trHeight w:val="402"/>
          <w:jc w:val="center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62A" w:rsidRPr="00E2379B" w:rsidRDefault="0022062A" w:rsidP="000B7730">
            <w:pPr>
              <w:rPr>
                <w:rFonts w:ascii="Times New Roman" w:hAnsi="Times New Roman"/>
                <w:sz w:val="14"/>
                <w:szCs w:val="14"/>
              </w:rPr>
            </w:pPr>
            <w:r w:rsidRPr="00E2379B">
              <w:rPr>
                <w:rFonts w:ascii="Times New Roman" w:hAnsi="Times New Roman"/>
                <w:sz w:val="14"/>
                <w:szCs w:val="14"/>
              </w:rPr>
              <w:t>31.600,00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  <w:r w:rsidRPr="00317FC7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Pumpice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za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ekg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sa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štipaljkama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za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odrasle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(set 4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štipaljke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+ 6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pumpice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pumpice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za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ekg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mac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500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sa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štipaljkama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za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odrasle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(set 4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štipaljke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+ 6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pumpice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)  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  <w:r w:rsidRPr="00317FC7">
              <w:rPr>
                <w:rFonts w:ascii="Times New Roman" w:hAnsi="Times New Roman"/>
                <w:sz w:val="16"/>
                <w:szCs w:val="16"/>
              </w:rPr>
              <w:t>set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  <w:r w:rsidRPr="00317F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  <w:lang/>
              </w:rPr>
            </w:pPr>
            <w:r w:rsidRPr="00317FC7">
              <w:rPr>
                <w:rFonts w:ascii="Times New Roman" w:hAnsi="Times New Roman"/>
                <w:sz w:val="16"/>
                <w:szCs w:val="16"/>
                <w:lang/>
              </w:rPr>
              <w:t>/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062A" w:rsidRPr="00317FC7" w:rsidTr="000B7730">
        <w:trPr>
          <w:trHeight w:val="402"/>
          <w:jc w:val="center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62A" w:rsidRPr="00E2379B" w:rsidRDefault="0022062A" w:rsidP="000B7730">
            <w:pPr>
              <w:rPr>
                <w:rFonts w:ascii="Times New Roman" w:hAnsi="Times New Roman"/>
                <w:sz w:val="14"/>
                <w:szCs w:val="14"/>
              </w:rPr>
            </w:pPr>
            <w:r w:rsidRPr="00E2379B">
              <w:rPr>
                <w:rFonts w:ascii="Times New Roman" w:hAnsi="Times New Roman"/>
                <w:sz w:val="14"/>
                <w:szCs w:val="14"/>
              </w:rPr>
              <w:t>10.000,00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  <w:r w:rsidRPr="00317FC7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Spric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boca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PVC a500 ml -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fajtalice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za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kućno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lečenje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6+ 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skolski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2 +</w:t>
            </w: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hes</w:t>
            </w:r>
            <w:proofErr w:type="spellEnd"/>
            <w:r w:rsidRPr="00317FC7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7FC7">
              <w:rPr>
                <w:rFonts w:ascii="Times New Roman" w:hAnsi="Times New Roman"/>
                <w:sz w:val="16"/>
                <w:szCs w:val="16"/>
              </w:rPr>
              <w:t>kom</w:t>
            </w:r>
            <w:proofErr w:type="spellEnd"/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  <w:r w:rsidRPr="00317FC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  <w:lang/>
              </w:rPr>
            </w:pPr>
            <w:r w:rsidRPr="00317FC7">
              <w:rPr>
                <w:rFonts w:ascii="Times New Roman" w:hAnsi="Times New Roman"/>
                <w:sz w:val="16"/>
                <w:szCs w:val="16"/>
                <w:lang/>
              </w:rPr>
              <w:t>/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2A" w:rsidRPr="00317FC7" w:rsidRDefault="0022062A" w:rsidP="000B773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81A8B" w:rsidRPr="002F7A23" w:rsidRDefault="00381A8B" w:rsidP="002F7A23">
      <w:pPr>
        <w:jc w:val="left"/>
        <w:rPr>
          <w:rFonts w:ascii="Calibri" w:eastAsia="Times New Roman" w:hAnsi="Calibri" w:cs="Calibri"/>
          <w:color w:val="000000"/>
          <w:sz w:val="22"/>
          <w:szCs w:val="22"/>
          <w:lang w:val="sr-Cyrl-CS"/>
        </w:rPr>
      </w:pP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Број примљених понуда и подаци о понуђачу:</w:t>
      </w:r>
      <w:r w:rsidR="002F7A23">
        <w:rPr>
          <w:rFonts w:ascii="Times New Roman" w:hAnsi="Times New Roman" w:cs="Times New Roman"/>
          <w:sz w:val="24"/>
          <w:szCs w:val="24"/>
          <w:lang w:val="sr-Cyrl-CS"/>
        </w:rPr>
        <w:t xml:space="preserve"> д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>о предвиђеног рока за подношење није пристигла ниједна понуда</w:t>
      </w:r>
      <w:r w:rsidR="002F7A23">
        <w:rPr>
          <w:rFonts w:ascii="Times New Roman" w:hAnsi="Times New Roman" w:cs="Times New Roman"/>
          <w:sz w:val="24"/>
          <w:szCs w:val="24"/>
          <w:lang w:val="sr-Cyrl-CS"/>
        </w:rPr>
        <w:t xml:space="preserve"> за наведене партије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 xml:space="preserve">Када ће поступак бити спроведен: </w:t>
      </w:r>
      <w:r w:rsidR="002F7A23">
        <w:rPr>
          <w:rFonts w:ascii="Times New Roman" w:hAnsi="Times New Roman" w:cs="Times New Roman"/>
          <w:sz w:val="24"/>
          <w:szCs w:val="24"/>
          <w:lang w:val="sr-Cyrl-CS"/>
        </w:rPr>
        <w:t>на основу потреба наручиоца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81A8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Остале информације: Нема.</w:t>
      </w:r>
    </w:p>
    <w:p w:rsidR="002F7A23" w:rsidRPr="005E3BCB" w:rsidRDefault="002F7A23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Pr="005E3BCB" w:rsidRDefault="002F7A23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81A8B" w:rsidRPr="005E3BC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381A8B" w:rsidRPr="005E3BCB">
        <w:rPr>
          <w:rFonts w:ascii="Times New Roman" w:hAnsi="Times New Roman" w:cs="Times New Roman"/>
          <w:sz w:val="24"/>
          <w:szCs w:val="24"/>
          <w:lang w:val="sr-Cyrl-CS"/>
        </w:rPr>
        <w:t xml:space="preserve"> В.Д. ДИРЕКТОР</w:t>
      </w: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  <w:t>ДЗ „СМЕДЕРЕВО“ СМЕДЕРЕВО</w:t>
      </w: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</w:t>
      </w:r>
      <w:r w:rsidR="002F7A23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>Др ст</w:t>
      </w:r>
      <w:r w:rsidR="002F7A23">
        <w:rPr>
          <w:rFonts w:ascii="Times New Roman" w:hAnsi="Times New Roman" w:cs="Times New Roman"/>
          <w:sz w:val="24"/>
          <w:szCs w:val="24"/>
          <w:lang w:val="sr-Cyrl-CS"/>
        </w:rPr>
        <w:t>ом. Светлана Михић Јовановић</w:t>
      </w:r>
    </w:p>
    <w:sectPr w:rsidR="00381A8B" w:rsidRPr="005E3BCB" w:rsidSect="0022062A">
      <w:pgSz w:w="16838" w:h="11906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351"/>
    <w:rsid w:val="000B7B86"/>
    <w:rsid w:val="000E0570"/>
    <w:rsid w:val="001011FA"/>
    <w:rsid w:val="00110FFB"/>
    <w:rsid w:val="00120498"/>
    <w:rsid w:val="0013346F"/>
    <w:rsid w:val="001D7017"/>
    <w:rsid w:val="00214614"/>
    <w:rsid w:val="0022062A"/>
    <w:rsid w:val="002713CD"/>
    <w:rsid w:val="002D6420"/>
    <w:rsid w:val="002E5797"/>
    <w:rsid w:val="002F7A23"/>
    <w:rsid w:val="0035061A"/>
    <w:rsid w:val="00381A8B"/>
    <w:rsid w:val="00393C4E"/>
    <w:rsid w:val="00396A8A"/>
    <w:rsid w:val="0040130D"/>
    <w:rsid w:val="00423F93"/>
    <w:rsid w:val="00446BAB"/>
    <w:rsid w:val="00451D0F"/>
    <w:rsid w:val="004A591B"/>
    <w:rsid w:val="00567A84"/>
    <w:rsid w:val="00582391"/>
    <w:rsid w:val="005853A9"/>
    <w:rsid w:val="00593FEC"/>
    <w:rsid w:val="00595C98"/>
    <w:rsid w:val="005E3BCB"/>
    <w:rsid w:val="006271CF"/>
    <w:rsid w:val="00687889"/>
    <w:rsid w:val="00695585"/>
    <w:rsid w:val="00730729"/>
    <w:rsid w:val="007E62D7"/>
    <w:rsid w:val="007F32E9"/>
    <w:rsid w:val="007F45F7"/>
    <w:rsid w:val="00837351"/>
    <w:rsid w:val="00871D46"/>
    <w:rsid w:val="00941E35"/>
    <w:rsid w:val="009574F4"/>
    <w:rsid w:val="00985BB1"/>
    <w:rsid w:val="00A203EB"/>
    <w:rsid w:val="00A46FBD"/>
    <w:rsid w:val="00AD2B04"/>
    <w:rsid w:val="00AF1875"/>
    <w:rsid w:val="00B136F9"/>
    <w:rsid w:val="00B5230E"/>
    <w:rsid w:val="00B53F4A"/>
    <w:rsid w:val="00B550FE"/>
    <w:rsid w:val="00B57BFE"/>
    <w:rsid w:val="00B65BF4"/>
    <w:rsid w:val="00BA0951"/>
    <w:rsid w:val="00BE32D3"/>
    <w:rsid w:val="00C02004"/>
    <w:rsid w:val="00C82D0C"/>
    <w:rsid w:val="00CB3223"/>
    <w:rsid w:val="00D336D8"/>
    <w:rsid w:val="00DA5E0A"/>
    <w:rsid w:val="00DD3297"/>
    <w:rsid w:val="00E05AB9"/>
    <w:rsid w:val="00EB2807"/>
    <w:rsid w:val="00EF5D3B"/>
    <w:rsid w:val="00F14F4E"/>
    <w:rsid w:val="00F2674D"/>
    <w:rsid w:val="00F45C0A"/>
    <w:rsid w:val="00F85405"/>
    <w:rsid w:val="00FA122A"/>
    <w:rsid w:val="00F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0E"/>
    <w:pPr>
      <w:widowControl w:val="0"/>
      <w:autoSpaceDE w:val="0"/>
      <w:autoSpaceDN w:val="0"/>
      <w:adjustRightInd w:val="0"/>
      <w:jc w:val="center"/>
    </w:pPr>
    <w:rPr>
      <w:rFonts w:ascii="Arial" w:hAnsi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7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C2D8-8D21-4CF6-8F75-48D3C4F7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466</Words>
  <Characters>2661</Characters>
  <Application>Microsoft Office Word</Application>
  <DocSecurity>0</DocSecurity>
  <Lines>22</Lines>
  <Paragraphs>6</Paragraphs>
  <ScaleCrop>false</ScaleCrop>
  <Company>Smederevo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Daniela Rajković</dc:creator>
  <cp:keywords/>
  <dc:description/>
  <cp:lastModifiedBy>dacar</cp:lastModifiedBy>
  <cp:revision>9</cp:revision>
  <cp:lastPrinted>2019-06-03T08:33:00Z</cp:lastPrinted>
  <dcterms:created xsi:type="dcterms:W3CDTF">2017-02-22T07:58:00Z</dcterms:created>
  <dcterms:modified xsi:type="dcterms:W3CDTF">2019-06-03T08:47:00Z</dcterms:modified>
</cp:coreProperties>
</file>